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034"/>
        <w:gridCol w:w="5604"/>
        <w:gridCol w:w="2302"/>
      </w:tblGrid>
      <w:tr w:rsidR="009F0431" w:rsidTr="009F0431">
        <w:trPr>
          <w:trHeight w:val="547"/>
        </w:trPr>
        <w:tc>
          <w:tcPr>
            <w:tcW w:w="12940" w:type="dxa"/>
            <w:gridSpan w:val="3"/>
            <w:vAlign w:val="center"/>
          </w:tcPr>
          <w:p w:rsidR="009F0431" w:rsidRDefault="009F0431" w:rsidP="009F0431">
            <w:pPr>
              <w:jc w:val="center"/>
              <w:rPr>
                <w:sz w:val="32"/>
                <w:szCs w:val="32"/>
              </w:rPr>
            </w:pPr>
            <w:r>
              <w:rPr>
                <w:sz w:val="32"/>
                <w:szCs w:val="32"/>
              </w:rPr>
              <w:t>Criterion 4:  Acquisition, Discovery, and Application of Knowledge</w:t>
            </w:r>
          </w:p>
          <w:p w:rsidR="009F0431" w:rsidRDefault="009F0431" w:rsidP="009F0431">
            <w:pPr>
              <w:jc w:val="center"/>
              <w:rPr>
                <w:sz w:val="20"/>
                <w:szCs w:val="20"/>
              </w:rPr>
            </w:pPr>
          </w:p>
          <w:p w:rsidR="009F0431" w:rsidRDefault="009F0431" w:rsidP="009F0431">
            <w:pPr>
              <w:jc w:val="center"/>
              <w:rPr>
                <w:sz w:val="20"/>
                <w:szCs w:val="20"/>
              </w:rPr>
            </w:pPr>
            <w:r>
              <w:rPr>
                <w:sz w:val="20"/>
                <w:szCs w:val="20"/>
              </w:rPr>
              <w:t xml:space="preserve">The organization promotes a life of learning for its faculty, administration, staff, and students by fostering and </w:t>
            </w:r>
          </w:p>
          <w:p w:rsidR="009F0431" w:rsidRDefault="009F0431" w:rsidP="009F0431">
            <w:pPr>
              <w:jc w:val="center"/>
              <w:rPr>
                <w:sz w:val="20"/>
                <w:szCs w:val="20"/>
              </w:rPr>
            </w:pPr>
            <w:r>
              <w:rPr>
                <w:sz w:val="20"/>
                <w:szCs w:val="20"/>
              </w:rPr>
              <w:t>supporting inquiry, creativity, practice, and social responsibility in ways consistent with its mission.</w:t>
            </w:r>
          </w:p>
          <w:p w:rsidR="009F0431" w:rsidRPr="009F0431" w:rsidRDefault="009F0431" w:rsidP="009F0431">
            <w:pPr>
              <w:jc w:val="center"/>
              <w:rPr>
                <w:sz w:val="20"/>
                <w:szCs w:val="20"/>
              </w:rPr>
            </w:pPr>
          </w:p>
        </w:tc>
      </w:tr>
      <w:tr w:rsidR="009F0431" w:rsidTr="008F7C1C">
        <w:tc>
          <w:tcPr>
            <w:tcW w:w="12940" w:type="dxa"/>
            <w:gridSpan w:val="3"/>
          </w:tcPr>
          <w:p w:rsidR="009F0431" w:rsidRDefault="009F0431">
            <w:r>
              <w:t>4a.  The organization demonstrates, through the actions of its board, administrators, students, faculty, and staff, that it values a life of learning</w:t>
            </w:r>
          </w:p>
        </w:tc>
      </w:tr>
      <w:tr w:rsidR="009F0431" w:rsidTr="00D12CD8">
        <w:tc>
          <w:tcPr>
            <w:tcW w:w="5034" w:type="dxa"/>
          </w:tcPr>
          <w:p w:rsidR="009F0431" w:rsidRDefault="00D12CD8" w:rsidP="00D12CD8">
            <w:pPr>
              <w:pStyle w:val="ListParagraph"/>
            </w:pPr>
            <w:r>
              <w:t>Example of Evidence</w:t>
            </w:r>
          </w:p>
        </w:tc>
        <w:tc>
          <w:tcPr>
            <w:tcW w:w="5604" w:type="dxa"/>
          </w:tcPr>
          <w:p w:rsidR="009F0431" w:rsidRDefault="00D12CD8">
            <w:r>
              <w:t>Ozarka Example</w:t>
            </w:r>
          </w:p>
        </w:tc>
        <w:tc>
          <w:tcPr>
            <w:tcW w:w="2302" w:type="dxa"/>
          </w:tcPr>
          <w:p w:rsidR="009F0431" w:rsidRDefault="00D12CD8">
            <w:r>
              <w:t>Answer Source</w:t>
            </w:r>
          </w:p>
        </w:tc>
      </w:tr>
      <w:tr w:rsidR="009F0431" w:rsidTr="00D12CD8">
        <w:tc>
          <w:tcPr>
            <w:tcW w:w="5034" w:type="dxa"/>
          </w:tcPr>
          <w:p w:rsidR="009F0431" w:rsidRDefault="00D12CD8" w:rsidP="00D12CD8">
            <w:pPr>
              <w:pStyle w:val="ListParagraph"/>
              <w:numPr>
                <w:ilvl w:val="0"/>
                <w:numId w:val="4"/>
              </w:numPr>
            </w:pPr>
            <w:r>
              <w:t xml:space="preserve"> The organization’s planning and pattern of financial allocation demonstrate that it values and promotes a life of learning for its students, faculty, and staff.   </w:t>
            </w:r>
          </w:p>
        </w:tc>
        <w:tc>
          <w:tcPr>
            <w:tcW w:w="5604" w:type="dxa"/>
          </w:tcPr>
          <w:p w:rsidR="009F0431" w:rsidRDefault="00D12CD8" w:rsidP="00D12CD8">
            <w:r>
              <w:t xml:space="preserve">a.  </w:t>
            </w:r>
          </w:p>
          <w:p w:rsidR="00D12CD8" w:rsidRDefault="00D12CD8" w:rsidP="00D12CD8"/>
          <w:p w:rsidR="00D12CD8" w:rsidRDefault="00D12CD8" w:rsidP="00D12CD8"/>
          <w:p w:rsidR="00D12CD8" w:rsidRDefault="00D12CD8" w:rsidP="00D12CD8">
            <w:r>
              <w:t>b.</w:t>
            </w:r>
          </w:p>
          <w:p w:rsidR="00D12CD8" w:rsidRDefault="00D12CD8" w:rsidP="00D12CD8"/>
          <w:p w:rsidR="00D12CD8" w:rsidRDefault="00D12CD8" w:rsidP="00D12CD8"/>
          <w:p w:rsidR="00D12CD8" w:rsidRDefault="00D12CD8" w:rsidP="00D12CD8"/>
          <w:p w:rsidR="00D12CD8" w:rsidRDefault="00D12CD8" w:rsidP="00D12CD8"/>
        </w:tc>
        <w:tc>
          <w:tcPr>
            <w:tcW w:w="2302" w:type="dxa"/>
          </w:tcPr>
          <w:p w:rsidR="009F0431" w:rsidRDefault="009F0431"/>
        </w:tc>
      </w:tr>
      <w:tr w:rsidR="009F0431" w:rsidTr="00D12CD8">
        <w:tc>
          <w:tcPr>
            <w:tcW w:w="5034" w:type="dxa"/>
          </w:tcPr>
          <w:p w:rsidR="00D12CD8" w:rsidRDefault="00D12CD8" w:rsidP="00D12CD8">
            <w:pPr>
              <w:pStyle w:val="ListParagraph"/>
              <w:numPr>
                <w:ilvl w:val="0"/>
                <w:numId w:val="4"/>
              </w:numPr>
            </w:pPr>
            <w:r>
              <w:t>The board has approved and disseminated statements supporting freedom of inquiry for the organization’s students, faculty, and staff, and honors those statements in its practices.</w:t>
            </w:r>
          </w:p>
          <w:p w:rsidR="009F0431" w:rsidRDefault="009F0431"/>
        </w:tc>
        <w:tc>
          <w:tcPr>
            <w:tcW w:w="5604" w:type="dxa"/>
          </w:tcPr>
          <w:p w:rsidR="00D12CD8" w:rsidRDefault="00D12CD8" w:rsidP="00D12CD8">
            <w:r>
              <w:t>a.</w:t>
            </w:r>
          </w:p>
          <w:p w:rsidR="00D12CD8" w:rsidRDefault="00D12CD8" w:rsidP="00D12CD8"/>
          <w:p w:rsidR="00D12CD8" w:rsidRDefault="00D12CD8" w:rsidP="00D12CD8"/>
          <w:p w:rsidR="00D12CD8" w:rsidRDefault="00D12CD8" w:rsidP="00D12CD8"/>
          <w:p w:rsidR="00D12CD8" w:rsidRDefault="00D12CD8" w:rsidP="00D12CD8">
            <w:r>
              <w:t>b.</w:t>
            </w:r>
          </w:p>
          <w:p w:rsidR="00D12CD8" w:rsidRDefault="00D12CD8" w:rsidP="00D12CD8"/>
          <w:p w:rsidR="00D12CD8" w:rsidRDefault="00D12CD8" w:rsidP="00D12CD8"/>
          <w:p w:rsidR="00D12CD8" w:rsidRDefault="00D12CD8" w:rsidP="00D12CD8"/>
          <w:p w:rsidR="009F0431" w:rsidRDefault="00D12CD8" w:rsidP="00D12CD8">
            <w:r>
              <w:t xml:space="preserve"> </w:t>
            </w:r>
          </w:p>
        </w:tc>
        <w:tc>
          <w:tcPr>
            <w:tcW w:w="2302" w:type="dxa"/>
          </w:tcPr>
          <w:p w:rsidR="009F0431" w:rsidRDefault="009F0431"/>
        </w:tc>
      </w:tr>
      <w:tr w:rsidR="009F0431" w:rsidTr="00D12CD8">
        <w:tc>
          <w:tcPr>
            <w:tcW w:w="5034" w:type="dxa"/>
          </w:tcPr>
          <w:p w:rsidR="009F0431" w:rsidRDefault="00D12CD8" w:rsidP="00D12CD8">
            <w:pPr>
              <w:pStyle w:val="ListParagraph"/>
              <w:numPr>
                <w:ilvl w:val="0"/>
                <w:numId w:val="4"/>
              </w:numPr>
            </w:pPr>
            <w:r>
              <w:t>The organization supports professional development opportunities and makes them available to all of its administrators, faculty, and staff.</w:t>
            </w:r>
          </w:p>
          <w:p w:rsidR="00D12CD8" w:rsidRDefault="00D12CD8"/>
          <w:p w:rsidR="00D12CD8" w:rsidRDefault="00D12CD8"/>
        </w:tc>
        <w:tc>
          <w:tcPr>
            <w:tcW w:w="5604" w:type="dxa"/>
          </w:tcPr>
          <w:p w:rsidR="00D12CD8" w:rsidRDefault="00D12CD8" w:rsidP="00D12CD8">
            <w:r>
              <w:t>a.</w:t>
            </w:r>
          </w:p>
          <w:p w:rsidR="00D12CD8" w:rsidRDefault="00D12CD8" w:rsidP="00D12CD8"/>
          <w:p w:rsidR="00D12CD8" w:rsidRDefault="00D12CD8" w:rsidP="00D12CD8"/>
          <w:p w:rsidR="00D12CD8" w:rsidRDefault="00D12CD8" w:rsidP="00D12CD8"/>
          <w:p w:rsidR="00D12CD8" w:rsidRDefault="00D12CD8" w:rsidP="00D12CD8">
            <w:r>
              <w:t>b.</w:t>
            </w:r>
          </w:p>
          <w:p w:rsidR="00D12CD8" w:rsidRDefault="00D12CD8" w:rsidP="00D12CD8"/>
          <w:p w:rsidR="00D12CD8" w:rsidRDefault="00D12CD8" w:rsidP="00D12CD8"/>
          <w:p w:rsidR="00D12CD8" w:rsidRDefault="00D12CD8" w:rsidP="00D12CD8"/>
          <w:p w:rsidR="009F0431" w:rsidRDefault="00D12CD8" w:rsidP="00D12CD8">
            <w:r>
              <w:t xml:space="preserve"> </w:t>
            </w:r>
          </w:p>
        </w:tc>
        <w:tc>
          <w:tcPr>
            <w:tcW w:w="2302" w:type="dxa"/>
          </w:tcPr>
          <w:p w:rsidR="009F0431" w:rsidRDefault="009F0431"/>
        </w:tc>
      </w:tr>
      <w:tr w:rsidR="009F0431" w:rsidTr="00D12CD8">
        <w:tc>
          <w:tcPr>
            <w:tcW w:w="5034" w:type="dxa"/>
          </w:tcPr>
          <w:p w:rsidR="009F0431" w:rsidRDefault="00D12CD8" w:rsidP="00D12CD8">
            <w:pPr>
              <w:pStyle w:val="ListParagraph"/>
              <w:numPr>
                <w:ilvl w:val="0"/>
                <w:numId w:val="4"/>
              </w:numPr>
            </w:pPr>
            <w:r>
              <w:lastRenderedPageBreak/>
              <w:t>The organization publicly acknowledges the achievements of student and faculty in acquiring, discovering, and applying knowledge.</w:t>
            </w:r>
          </w:p>
        </w:tc>
        <w:tc>
          <w:tcPr>
            <w:tcW w:w="5604" w:type="dxa"/>
          </w:tcPr>
          <w:p w:rsidR="009F0431" w:rsidRDefault="00D12CD8">
            <w:r>
              <w:t>a.</w:t>
            </w:r>
          </w:p>
          <w:p w:rsidR="00D12CD8" w:rsidRDefault="00D12CD8"/>
          <w:p w:rsidR="00D12CD8" w:rsidRDefault="00D12CD8"/>
          <w:p w:rsidR="00D12CD8" w:rsidRDefault="00D12CD8"/>
          <w:p w:rsidR="00D12CD8" w:rsidRDefault="00D12CD8">
            <w:r>
              <w:t>b.</w:t>
            </w:r>
          </w:p>
          <w:p w:rsidR="00D12CD8" w:rsidRDefault="00D12CD8"/>
          <w:p w:rsidR="00D12CD8" w:rsidRDefault="00D12CD8"/>
          <w:p w:rsidR="00D12CD8" w:rsidRDefault="00D12CD8"/>
          <w:p w:rsidR="00D12CD8" w:rsidRDefault="00D12CD8"/>
        </w:tc>
        <w:tc>
          <w:tcPr>
            <w:tcW w:w="2302" w:type="dxa"/>
          </w:tcPr>
          <w:p w:rsidR="009F0431" w:rsidRDefault="009F0431"/>
        </w:tc>
      </w:tr>
      <w:tr w:rsidR="009F0431" w:rsidTr="00D12CD8">
        <w:tc>
          <w:tcPr>
            <w:tcW w:w="5034" w:type="dxa"/>
          </w:tcPr>
          <w:p w:rsidR="009F0431" w:rsidRDefault="00D12CD8" w:rsidP="00D12CD8">
            <w:pPr>
              <w:pStyle w:val="ListParagraph"/>
              <w:numPr>
                <w:ilvl w:val="0"/>
                <w:numId w:val="4"/>
              </w:numPr>
            </w:pPr>
            <w:r>
              <w:t>The faculty and students, in keeping with the organization’s mission, produce scholarship and create knowledge through basic and applied research.</w:t>
            </w:r>
          </w:p>
        </w:tc>
        <w:tc>
          <w:tcPr>
            <w:tcW w:w="5604" w:type="dxa"/>
          </w:tcPr>
          <w:p w:rsidR="009F0431" w:rsidRDefault="006B22ED">
            <w:r>
              <w:t>a.</w:t>
            </w:r>
          </w:p>
          <w:p w:rsidR="006B22ED" w:rsidRDefault="006B22ED"/>
          <w:p w:rsidR="006B22ED" w:rsidRDefault="006B22ED"/>
          <w:p w:rsidR="006B22ED" w:rsidRDefault="006B22ED"/>
          <w:p w:rsidR="006B22ED" w:rsidRDefault="006B22ED">
            <w:r>
              <w:t>b.</w:t>
            </w:r>
          </w:p>
          <w:p w:rsidR="006B22ED" w:rsidRDefault="006B22ED"/>
          <w:p w:rsidR="006B22ED" w:rsidRDefault="006B22ED"/>
          <w:p w:rsidR="006B22ED" w:rsidRDefault="006B22ED"/>
          <w:p w:rsidR="006B22ED" w:rsidRDefault="006B22ED"/>
        </w:tc>
        <w:tc>
          <w:tcPr>
            <w:tcW w:w="2302" w:type="dxa"/>
          </w:tcPr>
          <w:p w:rsidR="009F0431" w:rsidRDefault="009F0431"/>
        </w:tc>
      </w:tr>
      <w:tr w:rsidR="009F0431" w:rsidTr="00D12CD8">
        <w:tc>
          <w:tcPr>
            <w:tcW w:w="5034" w:type="dxa"/>
          </w:tcPr>
          <w:p w:rsidR="009F0431" w:rsidRDefault="006B22ED" w:rsidP="006B22ED">
            <w:pPr>
              <w:pStyle w:val="ListParagraph"/>
              <w:numPr>
                <w:ilvl w:val="0"/>
                <w:numId w:val="4"/>
              </w:numPr>
            </w:pPr>
            <w:r>
              <w:t>The organization and its units use scholarship and research to stimulate organizational and educational improvements.</w:t>
            </w:r>
          </w:p>
        </w:tc>
        <w:tc>
          <w:tcPr>
            <w:tcW w:w="5604" w:type="dxa"/>
          </w:tcPr>
          <w:p w:rsidR="009F0431" w:rsidRDefault="006B22ED">
            <w:r>
              <w:t>a.</w:t>
            </w:r>
          </w:p>
          <w:p w:rsidR="006B22ED" w:rsidRDefault="006B22ED"/>
          <w:p w:rsidR="006B22ED" w:rsidRDefault="006B22ED"/>
          <w:p w:rsidR="006B22ED" w:rsidRDefault="006B22ED"/>
          <w:p w:rsidR="006B22ED" w:rsidRDefault="006B22ED">
            <w:r>
              <w:t>b.</w:t>
            </w:r>
          </w:p>
          <w:p w:rsidR="006B22ED" w:rsidRDefault="006B22ED"/>
          <w:p w:rsidR="006B22ED" w:rsidRDefault="006B22ED"/>
          <w:p w:rsidR="006B22ED" w:rsidRDefault="006B22ED"/>
          <w:p w:rsidR="006B22ED" w:rsidRDefault="006B22ED"/>
        </w:tc>
        <w:tc>
          <w:tcPr>
            <w:tcW w:w="2302" w:type="dxa"/>
          </w:tcPr>
          <w:p w:rsidR="009F0431" w:rsidRDefault="009F0431"/>
        </w:tc>
      </w:tr>
      <w:tr w:rsidR="006B22ED" w:rsidTr="00282452">
        <w:tc>
          <w:tcPr>
            <w:tcW w:w="12940" w:type="dxa"/>
            <w:gridSpan w:val="3"/>
          </w:tcPr>
          <w:p w:rsidR="006B22ED" w:rsidRDefault="006B22ED" w:rsidP="00007371">
            <w:r>
              <w:t xml:space="preserve">4b. </w:t>
            </w:r>
            <w:r w:rsidR="00007371">
              <w:t xml:space="preserve"> </w:t>
            </w:r>
            <w:r>
              <w:t xml:space="preserve"> The organization demonstrates that </w:t>
            </w:r>
            <w:r w:rsidR="00007371">
              <w:t>acquisition</w:t>
            </w:r>
            <w:r>
              <w:t xml:space="preserve"> of breadth of knowledge and skills and the exercise</w:t>
            </w:r>
            <w:r w:rsidR="00007371">
              <w:t xml:space="preserve"> of intellectual inquiry are integral to its educational programs.</w:t>
            </w:r>
          </w:p>
        </w:tc>
      </w:tr>
      <w:tr w:rsidR="009F0431" w:rsidTr="00D12CD8">
        <w:tc>
          <w:tcPr>
            <w:tcW w:w="5034" w:type="dxa"/>
          </w:tcPr>
          <w:p w:rsidR="009F0431" w:rsidRDefault="00007371" w:rsidP="00007371">
            <w:pPr>
              <w:pStyle w:val="ListParagraph"/>
              <w:numPr>
                <w:ilvl w:val="0"/>
                <w:numId w:val="10"/>
              </w:numPr>
            </w:pPr>
            <w:r>
              <w:t xml:space="preserve">The organization integrates general education into all of its undergraduate degree programs through curricular and experiential offerings intentionally created to develop the attitudes and skills requisite for a </w:t>
            </w:r>
            <w:r>
              <w:lastRenderedPageBreak/>
              <w:t xml:space="preserve">life of learning in a diverse society.  </w:t>
            </w:r>
          </w:p>
        </w:tc>
        <w:tc>
          <w:tcPr>
            <w:tcW w:w="5604" w:type="dxa"/>
          </w:tcPr>
          <w:p w:rsidR="009F0431" w:rsidRDefault="00007371" w:rsidP="00007371">
            <w:r>
              <w:lastRenderedPageBreak/>
              <w:t>a.</w:t>
            </w:r>
          </w:p>
          <w:p w:rsidR="00007371" w:rsidRDefault="00007371" w:rsidP="00007371"/>
          <w:p w:rsidR="00007371" w:rsidRDefault="00007371" w:rsidP="00007371"/>
          <w:p w:rsidR="00007371" w:rsidRDefault="00007371" w:rsidP="00007371"/>
          <w:p w:rsidR="00007371" w:rsidRDefault="00007371" w:rsidP="00007371">
            <w:r>
              <w:t>b.</w:t>
            </w:r>
          </w:p>
          <w:p w:rsidR="00007371" w:rsidRDefault="00007371" w:rsidP="00007371"/>
          <w:p w:rsidR="00007371" w:rsidRDefault="00007371" w:rsidP="00007371"/>
          <w:p w:rsidR="00007371" w:rsidRDefault="00007371" w:rsidP="00007371"/>
          <w:p w:rsidR="00007371" w:rsidRDefault="00007371" w:rsidP="00007371"/>
        </w:tc>
        <w:tc>
          <w:tcPr>
            <w:tcW w:w="2302" w:type="dxa"/>
          </w:tcPr>
          <w:p w:rsidR="009F0431" w:rsidRDefault="009F0431"/>
        </w:tc>
      </w:tr>
      <w:tr w:rsidR="009F0431" w:rsidTr="00D12CD8">
        <w:tc>
          <w:tcPr>
            <w:tcW w:w="5034" w:type="dxa"/>
          </w:tcPr>
          <w:p w:rsidR="009F0431" w:rsidRDefault="00007371" w:rsidP="00007371">
            <w:pPr>
              <w:pStyle w:val="ListParagraph"/>
              <w:numPr>
                <w:ilvl w:val="0"/>
                <w:numId w:val="10"/>
              </w:numPr>
            </w:pPr>
            <w:r>
              <w:lastRenderedPageBreak/>
              <w:t>The organization regularly reviews the relationship between its mission and values and the effectiveness of its general education.</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p w:rsidR="00007371" w:rsidRDefault="00007371"/>
        </w:tc>
        <w:tc>
          <w:tcPr>
            <w:tcW w:w="2302" w:type="dxa"/>
          </w:tcPr>
          <w:p w:rsidR="009F0431" w:rsidRDefault="009F0431"/>
        </w:tc>
      </w:tr>
      <w:tr w:rsidR="009F0431" w:rsidTr="00D12CD8">
        <w:tc>
          <w:tcPr>
            <w:tcW w:w="5034" w:type="dxa"/>
          </w:tcPr>
          <w:p w:rsidR="009F0431" w:rsidRDefault="00007371" w:rsidP="00007371">
            <w:pPr>
              <w:pStyle w:val="ListParagraph"/>
              <w:numPr>
                <w:ilvl w:val="0"/>
                <w:numId w:val="10"/>
              </w:numPr>
            </w:pPr>
            <w:r>
              <w:t xml:space="preserve">The organization demonstrates the linkages between curricular and </w:t>
            </w:r>
            <w:r w:rsidR="003C5767">
              <w:t>cocurricular</w:t>
            </w:r>
            <w:r>
              <w:t xml:space="preserve"> activities that support inquiry, practice, creativity, and social responsibility.</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p w:rsidR="00007371" w:rsidRDefault="00007371"/>
        </w:tc>
        <w:tc>
          <w:tcPr>
            <w:tcW w:w="2302" w:type="dxa"/>
          </w:tcPr>
          <w:p w:rsidR="009F0431" w:rsidRDefault="009F0431"/>
        </w:tc>
      </w:tr>
      <w:tr w:rsidR="009F0431" w:rsidTr="00D12CD8">
        <w:tc>
          <w:tcPr>
            <w:tcW w:w="5034" w:type="dxa"/>
          </w:tcPr>
          <w:p w:rsidR="009F0431" w:rsidRDefault="00007371" w:rsidP="00007371">
            <w:pPr>
              <w:pStyle w:val="ListParagraph"/>
              <w:numPr>
                <w:ilvl w:val="0"/>
                <w:numId w:val="10"/>
              </w:numPr>
            </w:pPr>
            <w:r>
              <w:t>Learning outcomes demonstrate that graduates have achieved breadth of knowledge and skills and the capacity to exercise intellectual inquiry.</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p w:rsidR="00007371" w:rsidRDefault="00007371"/>
        </w:tc>
        <w:tc>
          <w:tcPr>
            <w:tcW w:w="2302" w:type="dxa"/>
          </w:tcPr>
          <w:p w:rsidR="009F0431" w:rsidRDefault="009F0431"/>
        </w:tc>
      </w:tr>
      <w:tr w:rsidR="009F0431" w:rsidTr="00D12CD8">
        <w:tc>
          <w:tcPr>
            <w:tcW w:w="5034" w:type="dxa"/>
          </w:tcPr>
          <w:p w:rsidR="009F0431" w:rsidRDefault="00007371" w:rsidP="00007371">
            <w:pPr>
              <w:pStyle w:val="ListParagraph"/>
              <w:numPr>
                <w:ilvl w:val="0"/>
                <w:numId w:val="10"/>
              </w:numPr>
            </w:pPr>
            <w:r>
              <w:t>Learning outcomes demonstrate effective preparation for continued learning.</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p w:rsidR="00007371" w:rsidRDefault="00007371"/>
        </w:tc>
        <w:tc>
          <w:tcPr>
            <w:tcW w:w="2302" w:type="dxa"/>
          </w:tcPr>
          <w:p w:rsidR="009F0431" w:rsidRDefault="009F0431"/>
        </w:tc>
      </w:tr>
      <w:tr w:rsidR="00007371" w:rsidTr="00B009BA">
        <w:tc>
          <w:tcPr>
            <w:tcW w:w="12940" w:type="dxa"/>
            <w:gridSpan w:val="3"/>
          </w:tcPr>
          <w:p w:rsidR="00007371" w:rsidRDefault="00007371">
            <w:r>
              <w:lastRenderedPageBreak/>
              <w:t>4c. The organization assesses the usefulness of its curricula to students who will live and work in a global, diverse, and technological society.</w:t>
            </w:r>
          </w:p>
          <w:p w:rsidR="00007371" w:rsidRDefault="00007371"/>
        </w:tc>
      </w:tr>
      <w:tr w:rsidR="009F0431" w:rsidTr="00D12CD8">
        <w:tc>
          <w:tcPr>
            <w:tcW w:w="5034" w:type="dxa"/>
          </w:tcPr>
          <w:p w:rsidR="009F0431" w:rsidRDefault="00007371" w:rsidP="00007371">
            <w:pPr>
              <w:pStyle w:val="ListParagraph"/>
              <w:numPr>
                <w:ilvl w:val="0"/>
                <w:numId w:val="12"/>
              </w:numPr>
            </w:pPr>
            <w:r>
              <w:t>Regular academic program reviews include attention to currency and relevance of courses and programs.</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p w:rsidR="00007371" w:rsidRDefault="00007371"/>
        </w:tc>
        <w:tc>
          <w:tcPr>
            <w:tcW w:w="2302" w:type="dxa"/>
          </w:tcPr>
          <w:p w:rsidR="009F0431" w:rsidRDefault="009F0431"/>
        </w:tc>
      </w:tr>
      <w:tr w:rsidR="009F0431" w:rsidTr="00D12CD8">
        <w:tc>
          <w:tcPr>
            <w:tcW w:w="5034" w:type="dxa"/>
          </w:tcPr>
          <w:p w:rsidR="009F0431" w:rsidRDefault="00007371" w:rsidP="00007371">
            <w:pPr>
              <w:pStyle w:val="ListParagraph"/>
              <w:numPr>
                <w:ilvl w:val="0"/>
                <w:numId w:val="12"/>
              </w:numPr>
            </w:pPr>
            <w:r>
              <w:t>In keeping with its mission, learning goals and outcomes include skills and professional competence essential to a diverse workforce.</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p w:rsidR="00007371" w:rsidRDefault="00007371"/>
        </w:tc>
        <w:tc>
          <w:tcPr>
            <w:tcW w:w="2302" w:type="dxa"/>
          </w:tcPr>
          <w:p w:rsidR="009F0431" w:rsidRDefault="009F0431"/>
        </w:tc>
      </w:tr>
      <w:tr w:rsidR="009F0431" w:rsidTr="00D12CD8">
        <w:tc>
          <w:tcPr>
            <w:tcW w:w="5034" w:type="dxa"/>
          </w:tcPr>
          <w:p w:rsidR="009F0431" w:rsidRDefault="00007371" w:rsidP="00007371">
            <w:pPr>
              <w:pStyle w:val="ListParagraph"/>
              <w:numPr>
                <w:ilvl w:val="0"/>
                <w:numId w:val="12"/>
              </w:numPr>
            </w:pPr>
            <w:r>
              <w:t>Learning outcomes document that graduates have gained the skills and knowledge they need to function in a diverse local, national and global societies.</w:t>
            </w:r>
          </w:p>
        </w:tc>
        <w:tc>
          <w:tcPr>
            <w:tcW w:w="5604" w:type="dxa"/>
          </w:tcPr>
          <w:p w:rsidR="009F0431" w:rsidRDefault="00007371">
            <w:r>
              <w:t>a.</w:t>
            </w:r>
          </w:p>
          <w:p w:rsidR="00007371" w:rsidRDefault="00007371"/>
          <w:p w:rsidR="00007371" w:rsidRDefault="00007371"/>
          <w:p w:rsidR="00007371" w:rsidRDefault="00007371"/>
          <w:p w:rsidR="00007371" w:rsidRDefault="00007371">
            <w:r>
              <w:t>b.</w:t>
            </w:r>
          </w:p>
          <w:p w:rsidR="00007371" w:rsidRDefault="00007371"/>
          <w:p w:rsidR="00007371" w:rsidRDefault="00007371"/>
          <w:p w:rsidR="00007371" w:rsidRDefault="00007371"/>
        </w:tc>
        <w:tc>
          <w:tcPr>
            <w:tcW w:w="2302" w:type="dxa"/>
          </w:tcPr>
          <w:p w:rsidR="009F0431" w:rsidRDefault="009F0431"/>
        </w:tc>
      </w:tr>
      <w:tr w:rsidR="009F0431" w:rsidTr="00D12CD8">
        <w:tc>
          <w:tcPr>
            <w:tcW w:w="5034" w:type="dxa"/>
          </w:tcPr>
          <w:p w:rsidR="009F0431" w:rsidRDefault="003C5767" w:rsidP="003C5767">
            <w:pPr>
              <w:pStyle w:val="ListParagraph"/>
              <w:numPr>
                <w:ilvl w:val="0"/>
                <w:numId w:val="12"/>
              </w:numPr>
            </w:pPr>
            <w:r>
              <w:lastRenderedPageBreak/>
              <w:t>Curricular evaluation involves alumni, employers, and other external constituents who understand the relationships among the course of study, the currency of the curriculum, and the utility of the knowledge and skills gained.</w:t>
            </w:r>
          </w:p>
        </w:tc>
        <w:tc>
          <w:tcPr>
            <w:tcW w:w="5604" w:type="dxa"/>
          </w:tcPr>
          <w:p w:rsidR="009F0431" w:rsidRDefault="003C5767">
            <w:r>
              <w:t>a.</w:t>
            </w:r>
          </w:p>
          <w:p w:rsidR="003C5767" w:rsidRDefault="003C5767"/>
          <w:p w:rsidR="003C5767" w:rsidRDefault="003C5767"/>
          <w:p w:rsidR="003C5767" w:rsidRDefault="003C5767"/>
          <w:p w:rsidR="003C5767" w:rsidRDefault="003C5767">
            <w:r>
              <w:t>b.</w:t>
            </w:r>
          </w:p>
          <w:p w:rsidR="003C5767" w:rsidRDefault="003C5767"/>
          <w:p w:rsidR="003C5767" w:rsidRDefault="003C5767"/>
          <w:p w:rsidR="003C5767" w:rsidRDefault="003C5767"/>
          <w:p w:rsidR="003C5767" w:rsidRDefault="003C5767"/>
        </w:tc>
        <w:tc>
          <w:tcPr>
            <w:tcW w:w="2302" w:type="dxa"/>
          </w:tcPr>
          <w:p w:rsidR="009F0431" w:rsidRDefault="009F0431"/>
        </w:tc>
      </w:tr>
      <w:tr w:rsidR="009F0431" w:rsidTr="00D12CD8">
        <w:tc>
          <w:tcPr>
            <w:tcW w:w="5034" w:type="dxa"/>
          </w:tcPr>
          <w:p w:rsidR="009F0431" w:rsidRDefault="003C5767" w:rsidP="003C5767">
            <w:pPr>
              <w:pStyle w:val="ListParagraph"/>
              <w:numPr>
                <w:ilvl w:val="0"/>
                <w:numId w:val="12"/>
              </w:numPr>
            </w:pPr>
            <w:r>
              <w:t>The organization supports creation and use of scholarship by students in keeping with its mission.</w:t>
            </w:r>
          </w:p>
        </w:tc>
        <w:tc>
          <w:tcPr>
            <w:tcW w:w="5604" w:type="dxa"/>
          </w:tcPr>
          <w:p w:rsidR="009F0431" w:rsidRDefault="003C5767">
            <w:r>
              <w:t>a.</w:t>
            </w:r>
          </w:p>
          <w:p w:rsidR="003C5767" w:rsidRDefault="003C5767"/>
          <w:p w:rsidR="003C5767" w:rsidRDefault="003C5767"/>
          <w:p w:rsidR="003C5767" w:rsidRDefault="003C5767"/>
          <w:p w:rsidR="003C5767" w:rsidRDefault="003C5767">
            <w:r>
              <w:t>b.</w:t>
            </w:r>
          </w:p>
          <w:p w:rsidR="003C5767" w:rsidRDefault="003C5767"/>
          <w:p w:rsidR="003C5767" w:rsidRDefault="003C5767"/>
          <w:p w:rsidR="003C5767" w:rsidRDefault="003C5767"/>
          <w:p w:rsidR="003C5767" w:rsidRDefault="003C5767"/>
        </w:tc>
        <w:tc>
          <w:tcPr>
            <w:tcW w:w="2302" w:type="dxa"/>
          </w:tcPr>
          <w:p w:rsidR="009F0431" w:rsidRDefault="009F0431"/>
        </w:tc>
      </w:tr>
      <w:tr w:rsidR="009F0431" w:rsidTr="00D12CD8">
        <w:tc>
          <w:tcPr>
            <w:tcW w:w="5034" w:type="dxa"/>
          </w:tcPr>
          <w:p w:rsidR="009F0431" w:rsidRDefault="003C5767" w:rsidP="003C5767">
            <w:pPr>
              <w:pStyle w:val="ListParagraph"/>
              <w:numPr>
                <w:ilvl w:val="0"/>
                <w:numId w:val="12"/>
              </w:numPr>
            </w:pPr>
            <w:r>
              <w:t>Faculty expects students to master the knowledge and skills necessary for independent learning in programs of applied practice.</w:t>
            </w:r>
          </w:p>
        </w:tc>
        <w:tc>
          <w:tcPr>
            <w:tcW w:w="5604" w:type="dxa"/>
          </w:tcPr>
          <w:p w:rsidR="009F0431" w:rsidRDefault="003C5767">
            <w:r>
              <w:t>a.</w:t>
            </w:r>
          </w:p>
          <w:p w:rsidR="003C5767" w:rsidRDefault="003C5767"/>
          <w:p w:rsidR="003C5767" w:rsidRDefault="003C5767"/>
          <w:p w:rsidR="003C5767" w:rsidRDefault="003C5767"/>
          <w:p w:rsidR="003C5767" w:rsidRDefault="003C5767">
            <w:r>
              <w:t>b.</w:t>
            </w:r>
          </w:p>
          <w:p w:rsidR="003C5767" w:rsidRDefault="003C5767"/>
          <w:p w:rsidR="003C5767" w:rsidRDefault="003C5767"/>
          <w:p w:rsidR="003C5767" w:rsidRDefault="003C5767"/>
          <w:p w:rsidR="003C5767" w:rsidRDefault="003C5767"/>
        </w:tc>
        <w:tc>
          <w:tcPr>
            <w:tcW w:w="2302" w:type="dxa"/>
          </w:tcPr>
          <w:p w:rsidR="009F0431" w:rsidRDefault="009F0431"/>
        </w:tc>
      </w:tr>
      <w:tr w:rsidR="009F0431" w:rsidTr="00D12CD8">
        <w:tc>
          <w:tcPr>
            <w:tcW w:w="5034" w:type="dxa"/>
          </w:tcPr>
          <w:p w:rsidR="009F0431" w:rsidRDefault="003C5767" w:rsidP="003C5767">
            <w:pPr>
              <w:pStyle w:val="ListParagraph"/>
              <w:numPr>
                <w:ilvl w:val="0"/>
                <w:numId w:val="12"/>
              </w:numPr>
            </w:pPr>
            <w:r>
              <w:t>The organization provides curricular and cocurricular opportunities that promote social responsibility.</w:t>
            </w:r>
          </w:p>
        </w:tc>
        <w:tc>
          <w:tcPr>
            <w:tcW w:w="5604" w:type="dxa"/>
          </w:tcPr>
          <w:p w:rsidR="009F0431" w:rsidRDefault="003C5767">
            <w:r>
              <w:t>a.</w:t>
            </w:r>
          </w:p>
          <w:p w:rsidR="003C5767" w:rsidRDefault="003C5767"/>
          <w:p w:rsidR="003C5767" w:rsidRDefault="003C5767"/>
          <w:p w:rsidR="003C5767" w:rsidRDefault="003C5767"/>
          <w:p w:rsidR="003C5767" w:rsidRDefault="003C5767">
            <w:r>
              <w:t>b.</w:t>
            </w:r>
          </w:p>
          <w:p w:rsidR="003C5767" w:rsidRDefault="003C5767"/>
          <w:p w:rsidR="003C5767" w:rsidRDefault="003C5767"/>
          <w:p w:rsidR="003C5767" w:rsidRDefault="003C5767"/>
          <w:p w:rsidR="003C5767" w:rsidRDefault="003C5767"/>
        </w:tc>
        <w:tc>
          <w:tcPr>
            <w:tcW w:w="2302" w:type="dxa"/>
          </w:tcPr>
          <w:p w:rsidR="009F0431" w:rsidRDefault="009F0431"/>
        </w:tc>
      </w:tr>
      <w:tr w:rsidR="003C5767" w:rsidTr="00B61F85">
        <w:tc>
          <w:tcPr>
            <w:tcW w:w="12940" w:type="dxa"/>
            <w:gridSpan w:val="3"/>
          </w:tcPr>
          <w:p w:rsidR="003C5767" w:rsidRDefault="003C5767">
            <w:r>
              <w:lastRenderedPageBreak/>
              <w:t>4d. The organization provides support to ensure that faculty, students, and staff acquire, discover, and apply knowledge responsibly.</w:t>
            </w:r>
          </w:p>
          <w:p w:rsidR="003C5767" w:rsidRDefault="003C5767"/>
        </w:tc>
      </w:tr>
      <w:tr w:rsidR="009F0431" w:rsidTr="00D12CD8">
        <w:tc>
          <w:tcPr>
            <w:tcW w:w="5034" w:type="dxa"/>
          </w:tcPr>
          <w:p w:rsidR="009F0431" w:rsidRDefault="003C5767" w:rsidP="003C5767">
            <w:pPr>
              <w:pStyle w:val="ListParagraph"/>
              <w:numPr>
                <w:ilvl w:val="0"/>
                <w:numId w:val="13"/>
              </w:numPr>
            </w:pPr>
            <w:r>
              <w:t xml:space="preserve">The organization’s academic and student support programs contribute to the development of student skills and attitudes fundamental to responsible use of knowledge. </w:t>
            </w:r>
          </w:p>
        </w:tc>
        <w:tc>
          <w:tcPr>
            <w:tcW w:w="5604" w:type="dxa"/>
          </w:tcPr>
          <w:p w:rsidR="009F0431" w:rsidRDefault="00A23579">
            <w:r>
              <w:t>a.</w:t>
            </w:r>
          </w:p>
          <w:p w:rsidR="00A23579" w:rsidRDefault="00A23579"/>
          <w:p w:rsidR="00A23579" w:rsidRDefault="00A23579"/>
          <w:p w:rsidR="00A23579" w:rsidRDefault="00A23579"/>
          <w:p w:rsidR="00A23579" w:rsidRDefault="00A23579">
            <w:r>
              <w:t>b.</w:t>
            </w:r>
          </w:p>
          <w:p w:rsidR="00A23579" w:rsidRDefault="00A23579"/>
          <w:p w:rsidR="00A23579" w:rsidRDefault="00A23579"/>
          <w:p w:rsidR="00A23579" w:rsidRDefault="00A23579"/>
          <w:p w:rsidR="00A23579" w:rsidRDefault="00A23579"/>
        </w:tc>
        <w:tc>
          <w:tcPr>
            <w:tcW w:w="2302" w:type="dxa"/>
          </w:tcPr>
          <w:p w:rsidR="009F0431" w:rsidRDefault="009F0431"/>
        </w:tc>
      </w:tr>
      <w:tr w:rsidR="009F0431" w:rsidTr="00D12CD8">
        <w:tc>
          <w:tcPr>
            <w:tcW w:w="5034" w:type="dxa"/>
          </w:tcPr>
          <w:p w:rsidR="00A23579" w:rsidRDefault="00A23579" w:rsidP="00A23579">
            <w:pPr>
              <w:pStyle w:val="ListParagraph"/>
              <w:numPr>
                <w:ilvl w:val="0"/>
                <w:numId w:val="13"/>
              </w:numPr>
            </w:pPr>
            <w:r>
              <w:t>The organization follows explicit policies and procedures to ensure ethical conduct in its research and instructional activities.</w:t>
            </w:r>
          </w:p>
        </w:tc>
        <w:tc>
          <w:tcPr>
            <w:tcW w:w="5604" w:type="dxa"/>
          </w:tcPr>
          <w:p w:rsidR="009F0431" w:rsidRDefault="00A23579">
            <w:r>
              <w:t>a.</w:t>
            </w:r>
          </w:p>
          <w:p w:rsidR="00A23579" w:rsidRDefault="00A23579"/>
          <w:p w:rsidR="00A23579" w:rsidRDefault="00A23579"/>
          <w:p w:rsidR="00A23579" w:rsidRDefault="00A23579"/>
          <w:p w:rsidR="00A23579" w:rsidRDefault="00A23579">
            <w:r>
              <w:t>b.</w:t>
            </w:r>
          </w:p>
          <w:p w:rsidR="00A23579" w:rsidRDefault="00A23579"/>
          <w:p w:rsidR="00A23579" w:rsidRDefault="00A23579"/>
          <w:p w:rsidR="00A23579" w:rsidRDefault="00A23579"/>
          <w:p w:rsidR="00A23579" w:rsidRDefault="00A23579"/>
        </w:tc>
        <w:tc>
          <w:tcPr>
            <w:tcW w:w="2302" w:type="dxa"/>
          </w:tcPr>
          <w:p w:rsidR="009F0431" w:rsidRDefault="009F0431"/>
        </w:tc>
      </w:tr>
      <w:tr w:rsidR="009F0431" w:rsidTr="00D12CD8">
        <w:tc>
          <w:tcPr>
            <w:tcW w:w="5034" w:type="dxa"/>
          </w:tcPr>
          <w:p w:rsidR="009F0431" w:rsidRDefault="00A23579" w:rsidP="00A23579">
            <w:pPr>
              <w:pStyle w:val="ListParagraph"/>
              <w:numPr>
                <w:ilvl w:val="0"/>
                <w:numId w:val="13"/>
              </w:numPr>
            </w:pPr>
            <w:r>
              <w:t>The organization encourages curricular and cocurricular activities that relate responsible use of knowledge to practicing social responsibility.</w:t>
            </w:r>
          </w:p>
        </w:tc>
        <w:tc>
          <w:tcPr>
            <w:tcW w:w="5604" w:type="dxa"/>
          </w:tcPr>
          <w:p w:rsidR="009F0431" w:rsidRDefault="00A23579">
            <w:r>
              <w:t>a.</w:t>
            </w:r>
          </w:p>
          <w:p w:rsidR="00A23579" w:rsidRDefault="00A23579"/>
          <w:p w:rsidR="00A23579" w:rsidRDefault="00A23579"/>
          <w:p w:rsidR="00A23579" w:rsidRDefault="00A23579"/>
          <w:p w:rsidR="00A23579" w:rsidRDefault="00A23579">
            <w:r>
              <w:t>b.</w:t>
            </w:r>
          </w:p>
          <w:p w:rsidR="00A23579" w:rsidRDefault="00A23579"/>
          <w:p w:rsidR="00A23579" w:rsidRDefault="00A23579"/>
          <w:p w:rsidR="00A23579" w:rsidRDefault="00A23579"/>
          <w:p w:rsidR="00A23579" w:rsidRDefault="00A23579"/>
        </w:tc>
        <w:tc>
          <w:tcPr>
            <w:tcW w:w="2302" w:type="dxa"/>
          </w:tcPr>
          <w:p w:rsidR="009F0431" w:rsidRDefault="009F0431"/>
        </w:tc>
      </w:tr>
      <w:tr w:rsidR="009F0431" w:rsidTr="00D12CD8">
        <w:tc>
          <w:tcPr>
            <w:tcW w:w="5034" w:type="dxa"/>
          </w:tcPr>
          <w:p w:rsidR="009F0431" w:rsidRDefault="00A23579" w:rsidP="00A23579">
            <w:pPr>
              <w:pStyle w:val="ListParagraph"/>
              <w:numPr>
                <w:ilvl w:val="0"/>
                <w:numId w:val="13"/>
              </w:numPr>
            </w:pPr>
            <w:r>
              <w:t xml:space="preserve">The organization provides effective oversight and support services to ensure the integrity of research and practice conducted by its </w:t>
            </w:r>
            <w:r>
              <w:lastRenderedPageBreak/>
              <w:t>faculty and students.</w:t>
            </w:r>
          </w:p>
        </w:tc>
        <w:tc>
          <w:tcPr>
            <w:tcW w:w="5604" w:type="dxa"/>
          </w:tcPr>
          <w:p w:rsidR="009F0431" w:rsidRDefault="00A23579">
            <w:r>
              <w:lastRenderedPageBreak/>
              <w:t>a.</w:t>
            </w:r>
          </w:p>
          <w:p w:rsidR="00A23579" w:rsidRDefault="00A23579"/>
          <w:p w:rsidR="00A23579" w:rsidRDefault="00A23579"/>
          <w:p w:rsidR="00A23579" w:rsidRDefault="00A23579"/>
          <w:p w:rsidR="00A23579" w:rsidRDefault="00A23579">
            <w:r>
              <w:t>b.</w:t>
            </w:r>
          </w:p>
          <w:p w:rsidR="00A23579" w:rsidRDefault="00A23579"/>
          <w:p w:rsidR="00A23579" w:rsidRDefault="00A23579"/>
          <w:p w:rsidR="00A23579" w:rsidRDefault="00A23579"/>
          <w:p w:rsidR="00A23579" w:rsidRDefault="00A23579"/>
        </w:tc>
        <w:tc>
          <w:tcPr>
            <w:tcW w:w="2302" w:type="dxa"/>
          </w:tcPr>
          <w:p w:rsidR="009F0431" w:rsidRDefault="009F0431"/>
        </w:tc>
      </w:tr>
      <w:tr w:rsidR="009F0431" w:rsidTr="00D12CD8">
        <w:tc>
          <w:tcPr>
            <w:tcW w:w="5034" w:type="dxa"/>
          </w:tcPr>
          <w:p w:rsidR="009F0431" w:rsidRDefault="00A23579" w:rsidP="00A23579">
            <w:pPr>
              <w:pStyle w:val="ListParagraph"/>
              <w:numPr>
                <w:ilvl w:val="0"/>
                <w:numId w:val="13"/>
              </w:numPr>
            </w:pPr>
            <w:r>
              <w:lastRenderedPageBreak/>
              <w:t>The organization creates, disseminates, and enforces clear policies on practices involving intellectual property rights.</w:t>
            </w:r>
          </w:p>
        </w:tc>
        <w:tc>
          <w:tcPr>
            <w:tcW w:w="5604" w:type="dxa"/>
          </w:tcPr>
          <w:p w:rsidR="009F0431" w:rsidRDefault="00A23579">
            <w:r>
              <w:t>a.</w:t>
            </w:r>
          </w:p>
          <w:p w:rsidR="00A23579" w:rsidRDefault="00A23579"/>
          <w:p w:rsidR="00A23579" w:rsidRDefault="00A23579"/>
          <w:p w:rsidR="00A23579" w:rsidRDefault="00A23579"/>
          <w:p w:rsidR="00A23579" w:rsidRDefault="00A23579">
            <w:r>
              <w:t>b.</w:t>
            </w:r>
          </w:p>
          <w:p w:rsidR="00A23579" w:rsidRDefault="00A23579"/>
          <w:p w:rsidR="00A23579" w:rsidRDefault="00A23579"/>
          <w:p w:rsidR="00A23579" w:rsidRDefault="00A23579"/>
          <w:p w:rsidR="00A23579" w:rsidRDefault="00A23579"/>
        </w:tc>
        <w:tc>
          <w:tcPr>
            <w:tcW w:w="2302" w:type="dxa"/>
          </w:tcPr>
          <w:p w:rsidR="009F0431" w:rsidRDefault="009F0431"/>
        </w:tc>
      </w:tr>
    </w:tbl>
    <w:p w:rsidR="00C7034D" w:rsidRDefault="00C7034D"/>
    <w:sectPr w:rsidR="00C7034D" w:rsidSect="009F043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579" w:rsidRDefault="00A23579" w:rsidP="00A23579">
      <w:r>
        <w:separator/>
      </w:r>
    </w:p>
  </w:endnote>
  <w:endnote w:type="continuationSeparator" w:id="1">
    <w:p w:rsidR="00A23579" w:rsidRDefault="00A23579" w:rsidP="00A23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79" w:rsidRDefault="00A235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54783"/>
      <w:docPartObj>
        <w:docPartGallery w:val="Page Numbers (Bottom of Page)"/>
        <w:docPartUnique/>
      </w:docPartObj>
    </w:sdtPr>
    <w:sdtContent>
      <w:p w:rsidR="00A23579" w:rsidRDefault="00A23579">
        <w:pPr>
          <w:pStyle w:val="Footer"/>
          <w:jc w:val="right"/>
        </w:pPr>
        <w:fldSimple w:instr=" PAGE   \* MERGEFORMAT ">
          <w:r>
            <w:rPr>
              <w:noProof/>
            </w:rPr>
            <w:t>6</w:t>
          </w:r>
        </w:fldSimple>
      </w:p>
    </w:sdtContent>
  </w:sdt>
  <w:p w:rsidR="00A23579" w:rsidRDefault="00A235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79" w:rsidRDefault="00A23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579" w:rsidRDefault="00A23579" w:rsidP="00A23579">
      <w:r>
        <w:separator/>
      </w:r>
    </w:p>
  </w:footnote>
  <w:footnote w:type="continuationSeparator" w:id="1">
    <w:p w:rsidR="00A23579" w:rsidRDefault="00A23579" w:rsidP="00A23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79" w:rsidRDefault="00A235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79" w:rsidRDefault="00A235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79" w:rsidRDefault="00A235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087C"/>
    <w:multiLevelType w:val="hybridMultilevel"/>
    <w:tmpl w:val="2DAE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A15C2"/>
    <w:multiLevelType w:val="hybridMultilevel"/>
    <w:tmpl w:val="9050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22E5C"/>
    <w:multiLevelType w:val="hybridMultilevel"/>
    <w:tmpl w:val="4BCC5E7A"/>
    <w:lvl w:ilvl="0" w:tplc="6BA057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471A4"/>
    <w:multiLevelType w:val="hybridMultilevel"/>
    <w:tmpl w:val="5510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C0420"/>
    <w:multiLevelType w:val="hybridMultilevel"/>
    <w:tmpl w:val="715A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7367A"/>
    <w:multiLevelType w:val="hybridMultilevel"/>
    <w:tmpl w:val="5F96602C"/>
    <w:lvl w:ilvl="0" w:tplc="6BA057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E608E"/>
    <w:multiLevelType w:val="hybridMultilevel"/>
    <w:tmpl w:val="C410563C"/>
    <w:lvl w:ilvl="0" w:tplc="6BA057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A90C26"/>
    <w:multiLevelType w:val="hybridMultilevel"/>
    <w:tmpl w:val="5A889168"/>
    <w:lvl w:ilvl="0" w:tplc="6BA057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9435B"/>
    <w:multiLevelType w:val="hybridMultilevel"/>
    <w:tmpl w:val="94563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B538C"/>
    <w:multiLevelType w:val="hybridMultilevel"/>
    <w:tmpl w:val="5510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8F61F3"/>
    <w:multiLevelType w:val="hybridMultilevel"/>
    <w:tmpl w:val="6C72BD06"/>
    <w:lvl w:ilvl="0" w:tplc="6BA0576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50A03"/>
    <w:multiLevelType w:val="hybridMultilevel"/>
    <w:tmpl w:val="ECC03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560838"/>
    <w:multiLevelType w:val="hybridMultilevel"/>
    <w:tmpl w:val="7C46E524"/>
    <w:lvl w:ilvl="0" w:tplc="24E4A39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3"/>
  </w:num>
  <w:num w:numId="5">
    <w:abstractNumId w:val="10"/>
  </w:num>
  <w:num w:numId="6">
    <w:abstractNumId w:val="2"/>
  </w:num>
  <w:num w:numId="7">
    <w:abstractNumId w:val="5"/>
  </w:num>
  <w:num w:numId="8">
    <w:abstractNumId w:val="9"/>
  </w:num>
  <w:num w:numId="9">
    <w:abstractNumId w:val="7"/>
  </w:num>
  <w:num w:numId="10">
    <w:abstractNumId w:val="0"/>
  </w:num>
  <w:num w:numId="11">
    <w:abstractNumId w:val="6"/>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0431"/>
    <w:rsid w:val="00007371"/>
    <w:rsid w:val="003C5767"/>
    <w:rsid w:val="004B788F"/>
    <w:rsid w:val="006B22ED"/>
    <w:rsid w:val="009F0431"/>
    <w:rsid w:val="00A23579"/>
    <w:rsid w:val="00C7034D"/>
    <w:rsid w:val="00D12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4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F0431"/>
    <w:pPr>
      <w:ind w:left="720"/>
      <w:contextualSpacing/>
    </w:pPr>
  </w:style>
  <w:style w:type="paragraph" w:styleId="Header">
    <w:name w:val="header"/>
    <w:basedOn w:val="Normal"/>
    <w:link w:val="HeaderChar"/>
    <w:uiPriority w:val="99"/>
    <w:semiHidden/>
    <w:unhideWhenUsed/>
    <w:rsid w:val="00A23579"/>
    <w:pPr>
      <w:tabs>
        <w:tab w:val="center" w:pos="4680"/>
        <w:tab w:val="right" w:pos="9360"/>
      </w:tabs>
    </w:pPr>
  </w:style>
  <w:style w:type="character" w:customStyle="1" w:styleId="HeaderChar">
    <w:name w:val="Header Char"/>
    <w:basedOn w:val="DefaultParagraphFont"/>
    <w:link w:val="Header"/>
    <w:uiPriority w:val="99"/>
    <w:semiHidden/>
    <w:rsid w:val="00A23579"/>
  </w:style>
  <w:style w:type="paragraph" w:styleId="Footer">
    <w:name w:val="footer"/>
    <w:basedOn w:val="Normal"/>
    <w:link w:val="FooterChar"/>
    <w:uiPriority w:val="99"/>
    <w:unhideWhenUsed/>
    <w:rsid w:val="00A23579"/>
    <w:pPr>
      <w:tabs>
        <w:tab w:val="center" w:pos="4680"/>
        <w:tab w:val="right" w:pos="9360"/>
      </w:tabs>
    </w:pPr>
  </w:style>
  <w:style w:type="character" w:customStyle="1" w:styleId="FooterChar">
    <w:name w:val="Footer Char"/>
    <w:basedOn w:val="DefaultParagraphFont"/>
    <w:link w:val="Footer"/>
    <w:uiPriority w:val="99"/>
    <w:rsid w:val="00A23579"/>
  </w:style>
  <w:style w:type="paragraph" w:styleId="BalloonText">
    <w:name w:val="Balloon Text"/>
    <w:basedOn w:val="Normal"/>
    <w:link w:val="BalloonTextChar"/>
    <w:uiPriority w:val="99"/>
    <w:semiHidden/>
    <w:unhideWhenUsed/>
    <w:rsid w:val="00A23579"/>
    <w:rPr>
      <w:rFonts w:ascii="Tahoma" w:hAnsi="Tahoma" w:cs="Tahoma"/>
      <w:sz w:val="16"/>
      <w:szCs w:val="16"/>
    </w:rPr>
  </w:style>
  <w:style w:type="character" w:customStyle="1" w:styleId="BalloonTextChar">
    <w:name w:val="Balloon Text Char"/>
    <w:basedOn w:val="DefaultParagraphFont"/>
    <w:link w:val="BalloonText"/>
    <w:uiPriority w:val="99"/>
    <w:semiHidden/>
    <w:rsid w:val="00A23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7E26"/>
    <w:rsid w:val="00B67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D4CE01E4440028A0F4C767718AE58">
    <w:name w:val="508D4CE01E4440028A0F4C767718AE58"/>
    <w:rsid w:val="00B67E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1</cp:revision>
  <dcterms:created xsi:type="dcterms:W3CDTF">2008-09-27T16:27:00Z</dcterms:created>
  <dcterms:modified xsi:type="dcterms:W3CDTF">2008-09-27T17:31:00Z</dcterms:modified>
</cp:coreProperties>
</file>