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01" w:rsidRDefault="009F1501">
      <w:pPr>
        <w:pStyle w:val="Heading1"/>
      </w:pPr>
      <w:r>
        <w:t xml:space="preserve">Purpose of the </w:t>
      </w:r>
      <w:r w:rsidR="000E1F8E">
        <w:t>Advising</w:t>
      </w:r>
      <w:r>
        <w:t xml:space="preserve"> Improvement Team</w:t>
      </w:r>
    </w:p>
    <w:p w:rsidR="009F1501" w:rsidRDefault="009F1501">
      <w:pPr>
        <w:jc w:val="both"/>
        <w:rPr>
          <w:i/>
        </w:rPr>
      </w:pPr>
      <w:r>
        <w:t xml:space="preserve">The purpose of the Advising Improvement Team (AIT) is to define and implement measurable improvements to the advising process that </w:t>
      </w:r>
      <w:r>
        <w:rPr>
          <w:i/>
        </w:rPr>
        <w:t>improves overall student placement, goals, and satisfaction.</w:t>
      </w:r>
    </w:p>
    <w:p w:rsidR="009F1501" w:rsidRDefault="009C590E">
      <w:pPr>
        <w:pStyle w:val="Heading1"/>
        <w:rPr>
          <w:b w:val="0"/>
        </w:rPr>
      </w:pPr>
      <w:r>
        <w:t>A</w:t>
      </w:r>
      <w:r w:rsidR="009F1501">
        <w:t>IT Measurable Outcomes</w:t>
      </w:r>
    </w:p>
    <w:p w:rsidR="009F1501" w:rsidRDefault="009F1501">
      <w:pPr>
        <w:pStyle w:val="BodyText2"/>
      </w:pPr>
      <w:r>
        <w:t>Define, train, implement, and measure improvements to the advising process that can be measured in terms of:</w:t>
      </w:r>
    </w:p>
    <w:p w:rsidR="009F1501" w:rsidRDefault="009F1501">
      <w:pPr>
        <w:numPr>
          <w:ilvl w:val="0"/>
          <w:numId w:val="12"/>
        </w:numPr>
        <w:rPr>
          <w:color w:val="008080"/>
        </w:rPr>
      </w:pPr>
      <w:r>
        <w:rPr>
          <w:color w:val="008080"/>
        </w:rPr>
        <w:t>&lt;Metric 1&gt;</w:t>
      </w:r>
    </w:p>
    <w:p w:rsidR="009F1501" w:rsidRDefault="009F1501">
      <w:pPr>
        <w:numPr>
          <w:ilvl w:val="0"/>
          <w:numId w:val="12"/>
        </w:numPr>
        <w:rPr>
          <w:color w:val="008080"/>
        </w:rPr>
      </w:pPr>
      <w:r>
        <w:rPr>
          <w:color w:val="008080"/>
        </w:rPr>
        <w:t>&lt;Metric 2&gt;</w:t>
      </w:r>
    </w:p>
    <w:p w:rsidR="009F1501" w:rsidRDefault="009F1501">
      <w:pPr>
        <w:numPr>
          <w:ilvl w:val="0"/>
          <w:numId w:val="12"/>
        </w:numPr>
        <w:rPr>
          <w:color w:val="008080"/>
        </w:rPr>
      </w:pPr>
      <w:r>
        <w:rPr>
          <w:color w:val="008080"/>
        </w:rPr>
        <w:t>&lt;Metric 3&gt;</w:t>
      </w:r>
    </w:p>
    <w:p w:rsidR="009F1501" w:rsidRDefault="009F1501">
      <w:pPr>
        <w:numPr>
          <w:ilvl w:val="0"/>
          <w:numId w:val="12"/>
        </w:numPr>
        <w:rPr>
          <w:color w:val="008080"/>
        </w:rPr>
      </w:pPr>
      <w:r>
        <w:rPr>
          <w:color w:val="008080"/>
        </w:rPr>
        <w:t>&lt;Metric 4&gt;</w:t>
      </w:r>
    </w:p>
    <w:p w:rsidR="009F1501" w:rsidRDefault="009F1501">
      <w:pPr>
        <w:numPr>
          <w:ilvl w:val="0"/>
          <w:numId w:val="12"/>
        </w:numPr>
        <w:rPr>
          <w:color w:val="008080"/>
        </w:rPr>
      </w:pPr>
      <w:r>
        <w:rPr>
          <w:color w:val="008080"/>
        </w:rPr>
        <w:t>&lt;Metric n&gt;</w:t>
      </w:r>
    </w:p>
    <w:p w:rsidR="009F1501" w:rsidRDefault="009F1501">
      <w:pPr>
        <w:pStyle w:val="Heading1"/>
      </w:pPr>
      <w:r>
        <w:t>Clients / Stakeholders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9F1501">
        <w:tc>
          <w:tcPr>
            <w:tcW w:w="4428" w:type="dxa"/>
          </w:tcPr>
          <w:p w:rsidR="009F1501" w:rsidRDefault="005009D9">
            <w:r>
              <w:t>Students</w:t>
            </w:r>
          </w:p>
        </w:tc>
        <w:tc>
          <w:tcPr>
            <w:tcW w:w="4428" w:type="dxa"/>
          </w:tcPr>
          <w:p w:rsidR="009F1501" w:rsidRDefault="005009D9">
            <w:r>
              <w:t>Off campus directors</w:t>
            </w:r>
          </w:p>
        </w:tc>
      </w:tr>
      <w:tr w:rsidR="009F1501">
        <w:tc>
          <w:tcPr>
            <w:tcW w:w="4428" w:type="dxa"/>
          </w:tcPr>
          <w:p w:rsidR="009F1501" w:rsidRDefault="005009D9">
            <w:r>
              <w:t>Finance</w:t>
            </w:r>
          </w:p>
        </w:tc>
        <w:tc>
          <w:tcPr>
            <w:tcW w:w="4428" w:type="dxa"/>
          </w:tcPr>
          <w:p w:rsidR="009F1501" w:rsidRDefault="005009D9">
            <w:r>
              <w:t>IT</w:t>
            </w:r>
          </w:p>
        </w:tc>
      </w:tr>
      <w:tr w:rsidR="009F1501">
        <w:tc>
          <w:tcPr>
            <w:tcW w:w="4428" w:type="dxa"/>
          </w:tcPr>
          <w:p w:rsidR="009F1501" w:rsidRDefault="005009D9">
            <w:r>
              <w:t>Financial Aid</w:t>
            </w:r>
          </w:p>
        </w:tc>
        <w:tc>
          <w:tcPr>
            <w:tcW w:w="4428" w:type="dxa"/>
          </w:tcPr>
          <w:p w:rsidR="009F1501" w:rsidRDefault="009F1501"/>
        </w:tc>
      </w:tr>
      <w:tr w:rsidR="009F1501">
        <w:tc>
          <w:tcPr>
            <w:tcW w:w="4428" w:type="dxa"/>
          </w:tcPr>
          <w:p w:rsidR="009F1501" w:rsidRDefault="005009D9">
            <w:r>
              <w:t>Advisors</w:t>
            </w:r>
          </w:p>
        </w:tc>
        <w:tc>
          <w:tcPr>
            <w:tcW w:w="4428" w:type="dxa"/>
          </w:tcPr>
          <w:p w:rsidR="009F1501" w:rsidRDefault="009F1501"/>
        </w:tc>
      </w:tr>
      <w:tr w:rsidR="009F1501">
        <w:tc>
          <w:tcPr>
            <w:tcW w:w="4428" w:type="dxa"/>
          </w:tcPr>
          <w:p w:rsidR="009F1501" w:rsidRDefault="005009D9">
            <w:r>
              <w:t>Faculty</w:t>
            </w:r>
          </w:p>
        </w:tc>
        <w:tc>
          <w:tcPr>
            <w:tcW w:w="4428" w:type="dxa"/>
          </w:tcPr>
          <w:p w:rsidR="009F1501" w:rsidRDefault="009F1501"/>
        </w:tc>
      </w:tr>
      <w:tr w:rsidR="009F1501">
        <w:tc>
          <w:tcPr>
            <w:tcW w:w="4428" w:type="dxa"/>
          </w:tcPr>
          <w:p w:rsidR="009F1501" w:rsidRDefault="005009D9">
            <w:r>
              <w:t>Support Services</w:t>
            </w:r>
          </w:p>
        </w:tc>
        <w:tc>
          <w:tcPr>
            <w:tcW w:w="4428" w:type="dxa"/>
          </w:tcPr>
          <w:p w:rsidR="009F1501" w:rsidRDefault="009F1501"/>
        </w:tc>
      </w:tr>
    </w:tbl>
    <w:p w:rsidR="009F1501" w:rsidRDefault="009F1501">
      <w:pPr>
        <w:pStyle w:val="Heading1"/>
      </w:pPr>
      <w:r>
        <w:t>Team Members and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9F1501">
        <w:tc>
          <w:tcPr>
            <w:tcW w:w="4428" w:type="dxa"/>
          </w:tcPr>
          <w:p w:rsidR="009F1501" w:rsidRDefault="005009D9">
            <w:r>
              <w:t>Dr. Mike DeLong (Co-Chair)</w:t>
            </w:r>
          </w:p>
        </w:tc>
        <w:tc>
          <w:tcPr>
            <w:tcW w:w="4428" w:type="dxa"/>
          </w:tcPr>
          <w:p w:rsidR="009F1501" w:rsidRDefault="005009D9">
            <w:r>
              <w:t>Joanna Fulbright</w:t>
            </w:r>
          </w:p>
        </w:tc>
      </w:tr>
      <w:tr w:rsidR="009F1501">
        <w:tc>
          <w:tcPr>
            <w:tcW w:w="4428" w:type="dxa"/>
          </w:tcPr>
          <w:p w:rsidR="009F1501" w:rsidRDefault="005009D9">
            <w:r>
              <w:t>Ron Helm (Co-Chair)</w:t>
            </w:r>
          </w:p>
        </w:tc>
        <w:tc>
          <w:tcPr>
            <w:tcW w:w="4428" w:type="dxa"/>
          </w:tcPr>
          <w:p w:rsidR="009F1501" w:rsidRDefault="005009D9">
            <w:r>
              <w:t>Zeda Wilkerson</w:t>
            </w:r>
          </w:p>
        </w:tc>
      </w:tr>
      <w:tr w:rsidR="009F1501">
        <w:tc>
          <w:tcPr>
            <w:tcW w:w="4428" w:type="dxa"/>
          </w:tcPr>
          <w:p w:rsidR="009F1501" w:rsidRDefault="005009D9">
            <w:r>
              <w:t>Gin Brown</w:t>
            </w:r>
          </w:p>
        </w:tc>
        <w:tc>
          <w:tcPr>
            <w:tcW w:w="4428" w:type="dxa"/>
          </w:tcPr>
          <w:p w:rsidR="009F1501" w:rsidRDefault="005009D9">
            <w:r>
              <w:t>Michael Orf</w:t>
            </w:r>
          </w:p>
        </w:tc>
      </w:tr>
      <w:tr w:rsidR="009F1501">
        <w:tc>
          <w:tcPr>
            <w:tcW w:w="4428" w:type="dxa"/>
          </w:tcPr>
          <w:p w:rsidR="009F1501" w:rsidRDefault="005009D9">
            <w:r>
              <w:t>James Spurlock</w:t>
            </w:r>
          </w:p>
        </w:tc>
        <w:tc>
          <w:tcPr>
            <w:tcW w:w="4428" w:type="dxa"/>
          </w:tcPr>
          <w:p w:rsidR="009F1501" w:rsidRDefault="005009D9">
            <w:r>
              <w:t>Kim Lovelace</w:t>
            </w:r>
          </w:p>
        </w:tc>
      </w:tr>
      <w:tr w:rsidR="009F1501">
        <w:tc>
          <w:tcPr>
            <w:tcW w:w="4428" w:type="dxa"/>
          </w:tcPr>
          <w:p w:rsidR="009F1501" w:rsidRDefault="005009D9">
            <w:r>
              <w:t>Joan Stirling</w:t>
            </w:r>
          </w:p>
        </w:tc>
        <w:tc>
          <w:tcPr>
            <w:tcW w:w="4428" w:type="dxa"/>
          </w:tcPr>
          <w:p w:rsidR="009F1501" w:rsidRDefault="005009D9">
            <w:r>
              <w:t>Deltha Shell</w:t>
            </w:r>
          </w:p>
        </w:tc>
      </w:tr>
    </w:tbl>
    <w:p w:rsidR="009F1501" w:rsidRDefault="009F1501">
      <w:pPr>
        <w:pStyle w:val="Heading1"/>
      </w:pPr>
      <w:r>
        <w:t>Scope and Boundaries</w:t>
      </w:r>
    </w:p>
    <w:p w:rsidR="009F1501" w:rsidRDefault="009F1501" w:rsidP="009F1501">
      <w:pPr>
        <w:jc w:val="both"/>
        <w:rPr>
          <w:i/>
        </w:rPr>
      </w:pPr>
      <w:r>
        <w:t>The AIT representing the lead participants for the advising</w:t>
      </w:r>
      <w:r>
        <w:rPr>
          <w:color w:val="008080"/>
        </w:rPr>
        <w:t xml:space="preserve"> </w:t>
      </w:r>
      <w:r>
        <w:t xml:space="preserve">process, will improve our process to </w:t>
      </w:r>
      <w:r>
        <w:rPr>
          <w:i/>
        </w:rPr>
        <w:t>improve overall student placement, goals, and satisfaction.</w:t>
      </w:r>
    </w:p>
    <w:p w:rsidR="009F1501" w:rsidRDefault="009F1501">
      <w:pPr>
        <w:jc w:val="both"/>
      </w:pPr>
      <w:r>
        <w:t xml:space="preserve"> We are responsible for the process, training materials, and tools as well as the allocation of human and capital assets that execute and support this process.</w:t>
      </w:r>
    </w:p>
    <w:p w:rsidR="009F1501" w:rsidRDefault="009F1501"/>
    <w:p w:rsidR="009F1501" w:rsidRDefault="009F1501">
      <w:pPr>
        <w:pStyle w:val="BodyText2"/>
      </w:pPr>
      <w:r>
        <w:t xml:space="preserve">We shall evaluate our process in both qualitative and quantitative terms to focus on specific processes to be improved.  In an open, but deliverables-focused environment, we shall: </w:t>
      </w:r>
    </w:p>
    <w:p w:rsidR="009F1501" w:rsidRDefault="009F1501">
      <w:pPr>
        <w:ind w:left="720"/>
      </w:pPr>
      <w:proofErr w:type="gramStart"/>
      <w:r>
        <w:rPr>
          <w:b/>
        </w:rPr>
        <w:t>agree</w:t>
      </w:r>
      <w:proofErr w:type="gramEnd"/>
      <w:r>
        <w:rPr>
          <w:b/>
        </w:rPr>
        <w:t xml:space="preserve"> </w:t>
      </w:r>
      <w:r>
        <w:t xml:space="preserve">on specific problems to be addressed, </w:t>
      </w:r>
    </w:p>
    <w:p w:rsidR="009F1501" w:rsidRDefault="009F1501">
      <w:pPr>
        <w:ind w:left="720"/>
      </w:pPr>
      <w:proofErr w:type="gramStart"/>
      <w:r>
        <w:rPr>
          <w:b/>
        </w:rPr>
        <w:t>brainstorm</w:t>
      </w:r>
      <w:proofErr w:type="gramEnd"/>
      <w:r>
        <w:rPr>
          <w:b/>
        </w:rPr>
        <w:t xml:space="preserve"> </w:t>
      </w:r>
      <w:r>
        <w:t xml:space="preserve">for possible solutions, </w:t>
      </w:r>
    </w:p>
    <w:p w:rsidR="009F1501" w:rsidRDefault="009F1501">
      <w:pPr>
        <w:ind w:left="720"/>
      </w:pPr>
      <w:proofErr w:type="gramStart"/>
      <w:r>
        <w:rPr>
          <w:b/>
        </w:rPr>
        <w:t>normalize</w:t>
      </w:r>
      <w:proofErr w:type="gramEnd"/>
      <w:r>
        <w:rPr>
          <w:b/>
        </w:rPr>
        <w:t xml:space="preserve"> </w:t>
      </w:r>
      <w:r>
        <w:t xml:space="preserve">our approaches by focusing on the most value-added and promising solutions, </w:t>
      </w:r>
    </w:p>
    <w:p w:rsidR="009F1501" w:rsidRDefault="009F1501">
      <w:pPr>
        <w:ind w:left="720"/>
      </w:pPr>
      <w:proofErr w:type="gramStart"/>
      <w:r>
        <w:rPr>
          <w:b/>
        </w:rPr>
        <w:t>define</w:t>
      </w:r>
      <w:proofErr w:type="gramEnd"/>
      <w:r>
        <w:rPr>
          <w:b/>
        </w:rPr>
        <w:t xml:space="preserve"> </w:t>
      </w:r>
      <w:r>
        <w:t xml:space="preserve">the appropriate process assets or deliverables needed to support institutionalized behavior, </w:t>
      </w:r>
    </w:p>
    <w:p w:rsidR="009F1501" w:rsidRDefault="009F1501">
      <w:pPr>
        <w:ind w:left="720"/>
      </w:pPr>
      <w:proofErr w:type="gramStart"/>
      <w:r>
        <w:rPr>
          <w:b/>
        </w:rPr>
        <w:lastRenderedPageBreak/>
        <w:t>support</w:t>
      </w:r>
      <w:proofErr w:type="gramEnd"/>
      <w:r>
        <w:rPr>
          <w:b/>
        </w:rPr>
        <w:t xml:space="preserve"> </w:t>
      </w:r>
      <w:r>
        <w:t xml:space="preserve">the training and performance of the improved process, then vigilantly </w:t>
      </w:r>
      <w:r>
        <w:rPr>
          <w:b/>
        </w:rPr>
        <w:t xml:space="preserve">measure </w:t>
      </w:r>
      <w:r>
        <w:t xml:space="preserve">the process performance, being careful not to blame people, but focus on process performance. </w:t>
      </w:r>
    </w:p>
    <w:p w:rsidR="009F1501" w:rsidRDefault="009F1501"/>
    <w:p w:rsidR="009F1501" w:rsidRDefault="009F1501">
      <w:pPr>
        <w:pStyle w:val="Heading1"/>
      </w:pPr>
      <w:r>
        <w:t>Resources</w:t>
      </w:r>
    </w:p>
    <w:p w:rsidR="009F1501" w:rsidRDefault="009F1501">
      <w:pPr>
        <w:pStyle w:val="BodyText2"/>
      </w:pPr>
      <w:r>
        <w:t xml:space="preserve">The </w:t>
      </w:r>
      <w:r w:rsidR="00D64B33">
        <w:t xml:space="preserve">Advising </w:t>
      </w:r>
      <w:r>
        <w:t xml:space="preserve">Improvement Team will meet on a regular basis, in general, </w:t>
      </w:r>
      <w:r w:rsidR="00D64B33">
        <w:t>twice</w:t>
      </w:r>
      <w:r>
        <w:t xml:space="preserve"> a </w:t>
      </w:r>
      <w:r w:rsidR="00D64B33">
        <w:t>month</w:t>
      </w:r>
      <w:r>
        <w:t xml:space="preserve">, to agree upon activities, assign </w:t>
      </w:r>
      <w:proofErr w:type="spellStart"/>
      <w:r>
        <w:t>actionees</w:t>
      </w:r>
      <w:proofErr w:type="spellEnd"/>
      <w:r>
        <w:t xml:space="preserve"> to the activities, review progress on the activities, and review / approve proposed process assets (process maps, procedures, templates, checklists, tools, training materials, etc.).  As a default, nominal involvement in the </w:t>
      </w:r>
      <w:r w:rsidR="00D64B33">
        <w:t>A</w:t>
      </w:r>
      <w:r>
        <w:t xml:space="preserve">IT means a commitment of meeting time and some meeting preparation time.  Those who are assigned action items or initiatives may require a greater commitment of time dependent on the nature of and their role in the activity.  </w:t>
      </w:r>
    </w:p>
    <w:p w:rsidR="009F1501" w:rsidRDefault="009F1501">
      <w:pPr>
        <w:pStyle w:val="Heading1"/>
      </w:pPr>
      <w:r>
        <w:t>Ground Rules</w:t>
      </w:r>
    </w:p>
    <w:p w:rsidR="009F1501" w:rsidRDefault="009F1501">
      <w:pPr>
        <w:pStyle w:val="Heading2"/>
      </w:pPr>
      <w:r>
        <w:t>Attendance:</w:t>
      </w:r>
    </w:p>
    <w:p w:rsidR="009F1501" w:rsidRDefault="009F1501">
      <w:r>
        <w:t>Attend all team meetings</w:t>
      </w:r>
    </w:p>
    <w:p w:rsidR="009F1501" w:rsidRDefault="009F1501">
      <w:r>
        <w:t>Work sessions start and end on time</w:t>
      </w:r>
    </w:p>
    <w:p w:rsidR="009F1501" w:rsidRDefault="009F1501">
      <w:pPr>
        <w:pStyle w:val="Heading2"/>
      </w:pPr>
      <w:r>
        <w:t>Team decision process:</w:t>
      </w:r>
    </w:p>
    <w:p w:rsidR="009F1501" w:rsidRDefault="009F1501">
      <w:pPr>
        <w:rPr>
          <w:b/>
        </w:rPr>
      </w:pPr>
      <w:r>
        <w:t>Consensus, with team leader decision as fallback</w:t>
      </w:r>
    </w:p>
    <w:p w:rsidR="009F1501" w:rsidRDefault="009F1501">
      <w:pPr>
        <w:pStyle w:val="Heading2"/>
      </w:pPr>
      <w:r>
        <w:t>Deliverables:</w:t>
      </w:r>
    </w:p>
    <w:p w:rsidR="009F1501" w:rsidRDefault="009C590E" w:rsidP="009C590E">
      <w:pPr>
        <w:pStyle w:val="ListParagraph"/>
        <w:numPr>
          <w:ilvl w:val="0"/>
          <w:numId w:val="15"/>
        </w:numPr>
      </w:pPr>
      <w:r>
        <w:t>A</w:t>
      </w:r>
      <w:r w:rsidR="009F1501">
        <w:t>IT meetings will be recorded with Meeting Minutes containing at a minimum the meeting time, date, location, attendees, agenda, discussion summary, decisions, action items, action item assignee, action item planned close date, and action item actual close date.</w:t>
      </w:r>
    </w:p>
    <w:p w:rsidR="009C590E" w:rsidRDefault="009C590E" w:rsidP="009C590E">
      <w:pPr>
        <w:pStyle w:val="ListParagraph"/>
        <w:numPr>
          <w:ilvl w:val="0"/>
          <w:numId w:val="15"/>
        </w:numPr>
      </w:pPr>
      <w:r>
        <w:t>An improved process and policies</w:t>
      </w:r>
    </w:p>
    <w:p w:rsidR="009C590E" w:rsidRDefault="009C590E" w:rsidP="009C590E">
      <w:pPr>
        <w:pStyle w:val="ListParagraph"/>
        <w:numPr>
          <w:ilvl w:val="0"/>
          <w:numId w:val="15"/>
        </w:numPr>
      </w:pPr>
      <w:r>
        <w:t>Assessments</w:t>
      </w:r>
    </w:p>
    <w:p w:rsidR="009F1501" w:rsidRDefault="009F1501">
      <w:pPr>
        <w:pStyle w:val="Heading2"/>
      </w:pPr>
      <w:r>
        <w:t>Expected behaviors:</w:t>
      </w:r>
    </w:p>
    <w:p w:rsidR="009F1501" w:rsidRDefault="009F1501">
      <w:r>
        <w:t>Listen carefully -- understand before responding</w:t>
      </w:r>
    </w:p>
    <w:p w:rsidR="009F1501" w:rsidRDefault="009F1501">
      <w:r>
        <w:t>Communicate openly and assertively</w:t>
      </w:r>
    </w:p>
    <w:p w:rsidR="009F1501" w:rsidRDefault="009F1501">
      <w:pPr>
        <w:pStyle w:val="Footer"/>
        <w:tabs>
          <w:tab w:val="clear" w:pos="4320"/>
          <w:tab w:val="clear" w:pos="8640"/>
        </w:tabs>
      </w:pPr>
      <w:r>
        <w:t>Be open to divergent views</w:t>
      </w:r>
    </w:p>
    <w:p w:rsidR="009F1501" w:rsidRDefault="009F1501">
      <w:r>
        <w:t>Agree only if it makes sense</w:t>
      </w:r>
    </w:p>
    <w:p w:rsidR="009F1501" w:rsidRDefault="009F1501">
      <w:r>
        <w:t>Negotiate and contract assertively</w:t>
      </w:r>
    </w:p>
    <w:p w:rsidR="009F1501" w:rsidRDefault="009F1501">
      <w:r>
        <w:t>Don’t bog the group down with issues that a few can handle</w:t>
      </w:r>
    </w:p>
    <w:p w:rsidR="009F1501" w:rsidRDefault="009F1501">
      <w:r>
        <w:t>Emphasize iterative learning; don’t get stuck on getting it perfect</w:t>
      </w:r>
    </w:p>
    <w:p w:rsidR="009F1501" w:rsidRDefault="009F1501">
      <w:r>
        <w:t>Schedule personal efforts and other commitments in line with team plans</w:t>
      </w:r>
    </w:p>
    <w:p w:rsidR="009F1501" w:rsidRDefault="009F1501">
      <w:r>
        <w:t>Commit to finishing and working from the charter</w:t>
      </w:r>
    </w:p>
    <w:p w:rsidR="009F1501" w:rsidRDefault="009F1501">
      <w:r>
        <w:t>Use the ground rules and evaluate team progress by them</w:t>
      </w:r>
    </w:p>
    <w:p w:rsidR="009F1501" w:rsidRDefault="009F1501">
      <w:pPr>
        <w:pStyle w:val="Heading1"/>
        <w:sectPr w:rsidR="009F1501">
          <w:headerReference w:type="default" r:id="rId7"/>
          <w:footerReference w:type="default" r:id="rId8"/>
          <w:type w:val="continuous"/>
          <w:pgSz w:w="12240" w:h="15840" w:code="1"/>
          <w:pgMar w:top="1296" w:right="1800" w:bottom="1296" w:left="1800" w:header="720" w:footer="720" w:gutter="0"/>
          <w:cols w:space="720"/>
        </w:sectPr>
      </w:pPr>
    </w:p>
    <w:p w:rsidR="009F1501" w:rsidRDefault="00230B7B">
      <w:pPr>
        <w:pStyle w:val="Heading1"/>
      </w:pPr>
      <w:r>
        <w:lastRenderedPageBreak/>
        <w:t>I</w:t>
      </w:r>
      <w:r w:rsidR="009F1501">
        <w:t>mprovement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76"/>
        <w:gridCol w:w="6552"/>
        <w:gridCol w:w="1476"/>
        <w:gridCol w:w="1476"/>
        <w:gridCol w:w="1476"/>
      </w:tblGrid>
      <w:tr w:rsidR="009F1501">
        <w:tc>
          <w:tcPr>
            <w:tcW w:w="720" w:type="dxa"/>
          </w:tcPr>
          <w:p w:rsidR="009F1501" w:rsidRDefault="009F150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  <w:t>#</w:t>
            </w:r>
          </w:p>
        </w:tc>
        <w:tc>
          <w:tcPr>
            <w:tcW w:w="1476" w:type="dxa"/>
          </w:tcPr>
          <w:p w:rsidR="009F1501" w:rsidRDefault="009F150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Lead /</w:t>
            </w:r>
            <w:r>
              <w:rPr>
                <w:rFonts w:ascii="Arial Narrow" w:hAnsi="Arial Narrow"/>
                <w:b/>
              </w:rPr>
              <w:br/>
              <w:t>Resources</w:t>
            </w:r>
          </w:p>
        </w:tc>
        <w:tc>
          <w:tcPr>
            <w:tcW w:w="6552" w:type="dxa"/>
          </w:tcPr>
          <w:p w:rsidR="009F1501" w:rsidRDefault="009F150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Activity / </w:t>
            </w:r>
            <w:r>
              <w:rPr>
                <w:rFonts w:ascii="Arial Narrow" w:hAnsi="Arial Narrow"/>
                <w:b/>
              </w:rPr>
              <w:br/>
              <w:t>Deliverable(s)</w:t>
            </w:r>
          </w:p>
        </w:tc>
        <w:tc>
          <w:tcPr>
            <w:tcW w:w="1476" w:type="dxa"/>
          </w:tcPr>
          <w:p w:rsidR="009F1501" w:rsidRDefault="009F1501">
            <w:pPr>
              <w:pStyle w:val="Heading3"/>
              <w:jc w:val="center"/>
            </w:pPr>
            <w:r>
              <w:t>Outcome Impact</w:t>
            </w:r>
          </w:p>
        </w:tc>
        <w:tc>
          <w:tcPr>
            <w:tcW w:w="1476" w:type="dxa"/>
          </w:tcPr>
          <w:p w:rsidR="009F1501" w:rsidRDefault="009F150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Plan Close Date</w:t>
            </w:r>
          </w:p>
        </w:tc>
        <w:tc>
          <w:tcPr>
            <w:tcW w:w="1476" w:type="dxa"/>
          </w:tcPr>
          <w:p w:rsidR="009F1501" w:rsidRDefault="009F150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Actual Close Date</w:t>
            </w: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9F1501">
        <w:tc>
          <w:tcPr>
            <w:tcW w:w="720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552" w:type="dxa"/>
          </w:tcPr>
          <w:p w:rsidR="009F1501" w:rsidRDefault="009F1501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476" w:type="dxa"/>
          </w:tcPr>
          <w:p w:rsidR="009F1501" w:rsidRDefault="009F1501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</w:tbl>
    <w:p w:rsidR="009F1501" w:rsidRDefault="009F1501"/>
    <w:p w:rsidR="009F1501" w:rsidRDefault="009F1501"/>
    <w:sectPr w:rsidR="009F1501" w:rsidSect="00657B7E">
      <w:headerReference w:type="default" r:id="rId9"/>
      <w:footerReference w:type="default" r:id="rId10"/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01" w:rsidRDefault="009F1501">
      <w:r>
        <w:separator/>
      </w:r>
    </w:p>
  </w:endnote>
  <w:endnote w:type="continuationSeparator" w:id="1">
    <w:p w:rsidR="009F1501" w:rsidRDefault="009F1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64547"/>
      <w:docPartObj>
        <w:docPartGallery w:val="Page Numbers (Bottom of Page)"/>
        <w:docPartUnique/>
      </w:docPartObj>
    </w:sdtPr>
    <w:sdtContent>
      <w:p w:rsidR="009F1501" w:rsidRDefault="005D2444">
        <w:pPr>
          <w:pStyle w:val="Footer"/>
          <w:jc w:val="right"/>
        </w:pPr>
        <w:fldSimple w:instr=" PAGE   \* MERGEFORMAT ">
          <w:r w:rsidR="000E1F8E">
            <w:rPr>
              <w:noProof/>
            </w:rPr>
            <w:t>1</w:t>
          </w:r>
        </w:fldSimple>
      </w:p>
    </w:sdtContent>
  </w:sdt>
  <w:p w:rsidR="009F1501" w:rsidRDefault="009F1501">
    <w:pPr>
      <w:pStyle w:val="Footer"/>
      <w:tabs>
        <w:tab w:val="clear" w:pos="4320"/>
      </w:tabs>
      <w:rPr>
        <w:rFonts w:ascii="Arial" w:hAnsi="Arial"/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01" w:rsidRDefault="009F1501">
    <w:pPr>
      <w:pStyle w:val="Footer"/>
      <w:tabs>
        <w:tab w:val="clear" w:pos="4320"/>
        <w:tab w:val="clear" w:pos="8640"/>
        <w:tab w:val="right" w:pos="12960"/>
      </w:tabs>
      <w:rPr>
        <w:rFonts w:ascii="Arial" w:hAnsi="Arial"/>
        <w:b/>
        <w:sz w:val="18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01" w:rsidRDefault="009F1501">
      <w:r>
        <w:separator/>
      </w:r>
    </w:p>
  </w:footnote>
  <w:footnote w:type="continuationSeparator" w:id="1">
    <w:p w:rsidR="009F1501" w:rsidRDefault="009F1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01" w:rsidRDefault="009F1501">
    <w:pPr>
      <w:pStyle w:val="Header"/>
      <w:pBdr>
        <w:bottom w:val="double" w:sz="4" w:space="0" w:color="008080"/>
      </w:pBdr>
      <w:tabs>
        <w:tab w:val="clear" w:pos="4320"/>
        <w:tab w:val="clear" w:pos="8640"/>
        <w:tab w:val="right" w:pos="9360"/>
      </w:tabs>
      <w:jc w:val="center"/>
      <w:rPr>
        <w:b/>
        <w:i/>
        <w:sz w:val="28"/>
      </w:rPr>
    </w:pPr>
    <w:r>
      <w:rPr>
        <w:rFonts w:ascii="Arial Black" w:hAnsi="Arial Black"/>
        <w:sz w:val="28"/>
      </w:rPr>
      <w:t xml:space="preserve">Advising </w:t>
    </w:r>
    <w:r>
      <w:rPr>
        <w:rFonts w:ascii="Arial Black" w:hAnsi="Arial Black"/>
        <w:sz w:val="28"/>
      </w:rPr>
      <w:br/>
    </w:r>
    <w:r>
      <w:rPr>
        <w:b/>
        <w:i/>
        <w:sz w:val="28"/>
      </w:rPr>
      <w:t>Improvement Team Charter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01" w:rsidRDefault="00230B7B">
    <w:pPr>
      <w:pStyle w:val="Header"/>
      <w:pBdr>
        <w:bottom w:val="double" w:sz="4" w:space="0" w:color="008080"/>
      </w:pBdr>
      <w:tabs>
        <w:tab w:val="clear" w:pos="4320"/>
        <w:tab w:val="clear" w:pos="8640"/>
        <w:tab w:val="right" w:pos="9360"/>
      </w:tabs>
      <w:jc w:val="center"/>
      <w:rPr>
        <w:b/>
        <w:i/>
        <w:sz w:val="28"/>
      </w:rPr>
    </w:pPr>
    <w:r>
      <w:rPr>
        <w:rFonts w:ascii="Arial Black" w:hAnsi="Arial Black"/>
        <w:sz w:val="28"/>
      </w:rPr>
      <w:t>Advising Improvement Team</w:t>
    </w:r>
    <w:r w:rsidR="009F1501">
      <w:rPr>
        <w:rFonts w:ascii="Arial Black" w:hAnsi="Arial Black"/>
        <w:sz w:val="28"/>
      </w:rPr>
      <w:t xml:space="preserve"> </w:t>
    </w:r>
    <w:r w:rsidR="009F1501">
      <w:rPr>
        <w:rFonts w:ascii="Arial Black" w:hAnsi="Arial Black"/>
        <w:sz w:val="28"/>
      </w:rPr>
      <w:br/>
    </w:r>
    <w:r>
      <w:rPr>
        <w:b/>
        <w:i/>
        <w:sz w:val="28"/>
      </w:rPr>
      <w:t xml:space="preserve">Advising </w:t>
    </w:r>
    <w:r w:rsidR="009F1501">
      <w:rPr>
        <w:b/>
        <w:i/>
        <w:sz w:val="28"/>
      </w:rPr>
      <w:t>Improvement Team (</w:t>
    </w:r>
    <w:r>
      <w:rPr>
        <w:b/>
        <w:i/>
        <w:sz w:val="28"/>
      </w:rPr>
      <w:t>A</w:t>
    </w:r>
    <w:r w:rsidR="009F1501">
      <w:rPr>
        <w:b/>
        <w:i/>
        <w:sz w:val="28"/>
      </w:rPr>
      <w:t>IT) Roadmap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C37"/>
    <w:multiLevelType w:val="singleLevel"/>
    <w:tmpl w:val="FDD6AD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03D16FA"/>
    <w:multiLevelType w:val="hybridMultilevel"/>
    <w:tmpl w:val="455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930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062D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9CB6CA3"/>
    <w:multiLevelType w:val="singleLevel"/>
    <w:tmpl w:val="FDD6AD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41B576C5"/>
    <w:multiLevelType w:val="singleLevel"/>
    <w:tmpl w:val="FDD6AD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C330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3563CD"/>
    <w:multiLevelType w:val="singleLevel"/>
    <w:tmpl w:val="FDD6AD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4980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C8E0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AB1EE2"/>
    <w:multiLevelType w:val="singleLevel"/>
    <w:tmpl w:val="FDD6AD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611E76D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B155DE4"/>
    <w:multiLevelType w:val="singleLevel"/>
    <w:tmpl w:val="FDD6AD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7324053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B61568"/>
    <w:multiLevelType w:val="singleLevel"/>
    <w:tmpl w:val="C13EF1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4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D40"/>
    <w:rsid w:val="000E1F8E"/>
    <w:rsid w:val="000E5D40"/>
    <w:rsid w:val="00230B7B"/>
    <w:rsid w:val="005009D9"/>
    <w:rsid w:val="005D2444"/>
    <w:rsid w:val="00657B7E"/>
    <w:rsid w:val="009C590E"/>
    <w:rsid w:val="009F1501"/>
    <w:rsid w:val="00D6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7E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657B7E"/>
    <w:pPr>
      <w:keepNext/>
      <w:keepLines/>
      <w:pBdr>
        <w:top w:val="single" w:sz="6" w:space="1" w:color="008080" w:shadow="1"/>
        <w:left w:val="single" w:sz="6" w:space="4" w:color="008080" w:shadow="1"/>
        <w:bottom w:val="single" w:sz="6" w:space="1" w:color="008080" w:shadow="1"/>
        <w:right w:val="single" w:sz="6" w:space="4" w:color="008080" w:shadow="1"/>
      </w:pBdr>
      <w:shd w:val="clear" w:color="auto" w:fill="008080"/>
      <w:spacing w:before="240" w:after="60"/>
      <w:outlineLvl w:val="0"/>
    </w:pPr>
    <w:rPr>
      <w:rFonts w:ascii="Arial" w:hAnsi="Arial"/>
      <w:b/>
      <w:color w:val="FFFFFF"/>
      <w:spacing w:val="20"/>
      <w:sz w:val="28"/>
    </w:rPr>
  </w:style>
  <w:style w:type="paragraph" w:styleId="Heading2">
    <w:name w:val="heading 2"/>
    <w:basedOn w:val="Normal"/>
    <w:next w:val="Normal"/>
    <w:qFormat/>
    <w:rsid w:val="00657B7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57B7E"/>
    <w:pPr>
      <w:keepNext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7B7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57B7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57B7E"/>
    <w:rPr>
      <w:sz w:val="20"/>
    </w:rPr>
  </w:style>
  <w:style w:type="paragraph" w:styleId="BodyText">
    <w:name w:val="Body Text"/>
    <w:basedOn w:val="Normal"/>
    <w:semiHidden/>
    <w:rsid w:val="00657B7E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</w:pPr>
    <w:rPr>
      <w:i/>
      <w:sz w:val="20"/>
    </w:rPr>
  </w:style>
  <w:style w:type="paragraph" w:styleId="BodyText2">
    <w:name w:val="Body Text 2"/>
    <w:basedOn w:val="Normal"/>
    <w:semiHidden/>
    <w:rsid w:val="00657B7E"/>
    <w:pPr>
      <w:jc w:val="both"/>
    </w:pPr>
  </w:style>
  <w:style w:type="character" w:styleId="Hyperlink">
    <w:name w:val="Hyperlink"/>
    <w:basedOn w:val="DefaultParagraphFont"/>
    <w:semiHidden/>
    <w:rsid w:val="00657B7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57B7E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F1501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9C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507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Charter </vt:lpstr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Charter </dc:title>
  <dc:subject/>
  <dc:creator>Software Engineering Institute</dc:creator>
  <cp:keywords/>
  <dc:description/>
  <cp:lastModifiedBy>mdelong</cp:lastModifiedBy>
  <cp:revision>7</cp:revision>
  <cp:lastPrinted>2002-02-04T18:22:00Z</cp:lastPrinted>
  <dcterms:created xsi:type="dcterms:W3CDTF">2008-09-17T15:46:00Z</dcterms:created>
  <dcterms:modified xsi:type="dcterms:W3CDTF">2008-10-10T14:46:00Z</dcterms:modified>
</cp:coreProperties>
</file>